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93" w:rsidRPr="00161493" w:rsidRDefault="00161493" w:rsidP="00161493">
      <w:pPr>
        <w:spacing w:after="0" w:line="240" w:lineRule="auto"/>
        <w:ind w:firstLine="360"/>
        <w:jc w:val="both"/>
        <w:rPr>
          <w:rFonts w:ascii="Sylfaen" w:eastAsia="Times New Roman" w:hAnsi="Sylfaen" w:cs="Sylfaen"/>
          <w:sz w:val="28"/>
          <w:szCs w:val="28"/>
          <w:lang w:val="ka-GE" w:eastAsia="ka-GE"/>
        </w:rPr>
      </w:pPr>
      <w:r w:rsidRPr="00161493">
        <w:rPr>
          <w:rFonts w:ascii="Sylfaen" w:eastAsia="Times New Roman" w:hAnsi="Sylfaen" w:cs="Sylfaen"/>
          <w:sz w:val="28"/>
          <w:szCs w:val="28"/>
          <w:lang w:val="ka-GE" w:eastAsia="ka-GE"/>
        </w:rPr>
        <w:t>საანგარიშო პერიოდის (თვე, კვარტალი) დამთავრებიდან 10 კალენდარული დღის განმავლობაში სამინისტროს დაქვემდებარებაში მყოფი საჯარო სამართლის იურიდიული პირები და</w:t>
      </w:r>
      <w:r w:rsidRPr="00161493">
        <w:rPr>
          <w:rFonts w:ascii="Times New Roman" w:eastAsia="Times New Roman" w:hAnsi="Times New Roman" w:cs="Times New Roman"/>
          <w:sz w:val="28"/>
          <w:szCs w:val="28"/>
          <w:lang w:val="ka-GE" w:eastAsia="ka-GE"/>
        </w:rPr>
        <w:t xml:space="preserve"> </w:t>
      </w:r>
      <w:r w:rsidRPr="00161493">
        <w:rPr>
          <w:rFonts w:ascii="Sylfaen" w:eastAsia="Times New Roman" w:hAnsi="Sylfaen" w:cs="Sylfaen"/>
          <w:sz w:val="28"/>
          <w:szCs w:val="28"/>
          <w:lang w:val="ka-GE" w:eastAsia="ka-GE"/>
        </w:rPr>
        <w:t>სამინისტროს</w:t>
      </w:r>
      <w:r w:rsidRPr="00161493">
        <w:rPr>
          <w:rFonts w:ascii="Times New Roman" w:eastAsia="Times New Roman" w:hAnsi="Times New Roman" w:cs="Times New Roman"/>
          <w:sz w:val="28"/>
          <w:szCs w:val="28"/>
          <w:lang w:val="ka-GE" w:eastAsia="ka-GE"/>
        </w:rPr>
        <w:t xml:space="preserve"> </w:t>
      </w:r>
      <w:r w:rsidRPr="00161493">
        <w:rPr>
          <w:rFonts w:ascii="Sylfaen" w:eastAsia="Times New Roman" w:hAnsi="Sylfaen" w:cs="Sylfaen"/>
          <w:sz w:val="28"/>
          <w:szCs w:val="28"/>
          <w:lang w:val="ka-GE" w:eastAsia="ka-GE"/>
        </w:rPr>
        <w:t>ცენტრალური</w:t>
      </w:r>
      <w:r w:rsidRPr="00161493">
        <w:rPr>
          <w:rFonts w:ascii="Times New Roman" w:eastAsia="Times New Roman" w:hAnsi="Times New Roman" w:cs="Times New Roman"/>
          <w:sz w:val="28"/>
          <w:szCs w:val="28"/>
          <w:lang w:val="ka-GE" w:eastAsia="ka-GE"/>
        </w:rPr>
        <w:t xml:space="preserve"> </w:t>
      </w:r>
      <w:r w:rsidRPr="00161493">
        <w:rPr>
          <w:rFonts w:ascii="Sylfaen" w:eastAsia="Times New Roman" w:hAnsi="Sylfaen" w:cs="Sylfaen"/>
          <w:sz w:val="28"/>
          <w:szCs w:val="28"/>
          <w:lang w:val="ka-GE" w:eastAsia="ka-GE"/>
        </w:rPr>
        <w:t>აპარატის</w:t>
      </w:r>
      <w:r w:rsidRPr="00161493">
        <w:rPr>
          <w:rFonts w:ascii="Times New Roman" w:eastAsia="Times New Roman" w:hAnsi="Times New Roman" w:cs="Times New Roman"/>
          <w:sz w:val="28"/>
          <w:szCs w:val="28"/>
          <w:lang w:val="ka-GE" w:eastAsia="ka-GE"/>
        </w:rPr>
        <w:t xml:space="preserve"> </w:t>
      </w:r>
      <w:r w:rsidRPr="00161493">
        <w:rPr>
          <w:rFonts w:ascii="Sylfaen" w:eastAsia="Times New Roman" w:hAnsi="Sylfaen" w:cs="Sylfaen"/>
          <w:sz w:val="28"/>
          <w:szCs w:val="28"/>
          <w:lang w:val="ka-GE" w:eastAsia="ka-GE"/>
        </w:rPr>
        <w:t>ადმინისტრაციული</w:t>
      </w:r>
      <w:r w:rsidRPr="00161493">
        <w:rPr>
          <w:rFonts w:ascii="Times New Roman" w:eastAsia="Times New Roman" w:hAnsi="Times New Roman" w:cs="Times New Roman"/>
          <w:sz w:val="28"/>
          <w:szCs w:val="28"/>
          <w:lang w:val="ka-GE" w:eastAsia="ka-GE"/>
        </w:rPr>
        <w:t xml:space="preserve"> </w:t>
      </w:r>
      <w:r w:rsidRPr="00161493">
        <w:rPr>
          <w:rFonts w:ascii="Sylfaen" w:eastAsia="Times New Roman" w:hAnsi="Sylfaen" w:cs="Sylfaen"/>
          <w:sz w:val="28"/>
          <w:szCs w:val="28"/>
          <w:lang w:val="ka-GE" w:eastAsia="ka-GE"/>
        </w:rPr>
        <w:t>დეპარტამენტი (შემდგომში განმახორციელებლები) თანდართული ფორმებით წარმოადგენენ ბიუჯეტის შესრულების ანგარიშს დასაბუთებული ახსნა-განმარტებებით. ამავე ანგარიშში მოცემული უნდა იყოს თითოეული პროგრამული კოდის მიხედვით ხარჯვის პროგნოზი.</w:t>
      </w:r>
    </w:p>
    <w:p w:rsidR="00161493" w:rsidRPr="00161493" w:rsidRDefault="00161493" w:rsidP="00161493">
      <w:pPr>
        <w:spacing w:after="0" w:line="240" w:lineRule="auto"/>
        <w:ind w:firstLine="360"/>
        <w:jc w:val="both"/>
        <w:rPr>
          <w:rFonts w:ascii="Sylfaen" w:eastAsia="Times New Roman" w:hAnsi="Sylfaen" w:cs="Sylfaen"/>
          <w:sz w:val="28"/>
          <w:szCs w:val="28"/>
          <w:lang w:val="ka-GE" w:eastAsia="ka-GE"/>
        </w:rPr>
      </w:pPr>
      <w:r w:rsidRPr="00161493">
        <w:rPr>
          <w:rFonts w:ascii="Sylfaen" w:eastAsia="Times New Roman" w:hAnsi="Sylfaen" w:cs="Sylfaen"/>
          <w:sz w:val="28"/>
          <w:szCs w:val="28"/>
          <w:lang w:val="ka-GE" w:eastAsia="ka-GE"/>
        </w:rPr>
        <w:t>განმახორციელებლების ანგარიშები გადაეგზავნებათ სამინისტროს შესაბამისი პოლიტიკის განმსაზღვრელ ქვედანაყოფებს, რომლებიც 5 კალენდარული დღის ვადაში წარმოადგენენ თავის დასკვნას განმახორციელებლების ანგარიშზე.</w:t>
      </w:r>
    </w:p>
    <w:p w:rsidR="00161493" w:rsidRPr="00161493" w:rsidRDefault="00161493" w:rsidP="00161493">
      <w:pPr>
        <w:spacing w:after="0" w:line="240" w:lineRule="auto"/>
        <w:ind w:firstLine="360"/>
        <w:jc w:val="both"/>
        <w:rPr>
          <w:rFonts w:ascii="Sylfaen" w:eastAsia="Times New Roman" w:hAnsi="Sylfaen" w:cs="Sylfaen"/>
          <w:sz w:val="28"/>
          <w:szCs w:val="28"/>
          <w:lang w:val="ka-GE" w:eastAsia="ka-GE"/>
        </w:rPr>
      </w:pPr>
      <w:r w:rsidRPr="00161493">
        <w:rPr>
          <w:rFonts w:ascii="Sylfaen" w:eastAsia="Times New Roman" w:hAnsi="Sylfaen" w:cs="Sylfaen"/>
          <w:sz w:val="28"/>
          <w:szCs w:val="28"/>
          <w:lang w:val="ka-GE" w:eastAsia="ka-GE"/>
        </w:rPr>
        <w:t>იმ შემთხვევაში, როცა სხვაობა დაგეგმილსა და ფაქტიურ მაჩვენებლებს შორის (რომელიმე პროგრამული კოდის მიხედვით) აღემატება 5%-ს ან 100 000 ლარს განმახორციელებლის ანგარიში და შესაბამისი პოლიტიკის განმსაზღვრელი ქვედანაყოფის დასკვნა განსახილველად გადაეცემა სამინისტროს აუდიტის დეპარტამენტს, რომელიც 10 კალენდარული დღის განმავლობაში წარმოადგენს საკუთარ დასკვნასა და რეკომენდაციებს. წარმოდგენილი დოკუმენტების შესაბამისად სამინისტროს ეკონომიკური დეპარტამენტი ამზადებს დასაბუთებულ წინადადებებს გეგმებში საჭირო ცვლილებების შესახებ და წარუდგენს მინისტრ</w:t>
      </w:r>
      <w:r>
        <w:rPr>
          <w:rFonts w:ascii="Sylfaen" w:eastAsia="Times New Roman" w:hAnsi="Sylfaen" w:cs="Sylfaen"/>
          <w:sz w:val="28"/>
          <w:szCs w:val="28"/>
          <w:lang w:val="ka-GE" w:eastAsia="ka-GE"/>
        </w:rPr>
        <w:t>ი</w:t>
      </w:r>
      <w:r w:rsidRPr="00161493">
        <w:rPr>
          <w:rFonts w:ascii="Sylfaen" w:eastAsia="Times New Roman" w:hAnsi="Sylfaen" w:cs="Sylfaen"/>
          <w:sz w:val="28"/>
          <w:szCs w:val="28"/>
          <w:lang w:val="ka-GE" w:eastAsia="ka-GE"/>
        </w:rPr>
        <w:t>ს</w:t>
      </w:r>
      <w:r>
        <w:rPr>
          <w:rFonts w:ascii="Sylfaen" w:eastAsia="Times New Roman" w:hAnsi="Sylfaen" w:cs="Sylfaen"/>
          <w:sz w:val="28"/>
          <w:szCs w:val="28"/>
          <w:lang w:val="ka-GE" w:eastAsia="ka-GE"/>
        </w:rPr>
        <w:t xml:space="preserve"> მოადგილეს </w:t>
      </w:r>
      <w:r w:rsidRPr="00161493">
        <w:rPr>
          <w:rFonts w:ascii="Sylfaen" w:eastAsia="Times New Roman" w:hAnsi="Sylfaen" w:cs="Sylfaen"/>
          <w:sz w:val="28"/>
          <w:szCs w:val="28"/>
          <w:lang w:val="ka-GE" w:eastAsia="ka-GE"/>
        </w:rPr>
        <w:t>3 კალენდარული დღის ვადაში.</w:t>
      </w:r>
    </w:p>
    <w:p w:rsidR="00B82093" w:rsidRPr="00161493" w:rsidRDefault="00B82093">
      <w:pPr>
        <w:rPr>
          <w:sz w:val="28"/>
          <w:szCs w:val="28"/>
        </w:rPr>
      </w:pPr>
    </w:p>
    <w:sectPr w:rsidR="00B82093" w:rsidRPr="00161493" w:rsidSect="00B8209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161493"/>
    <w:rsid w:val="00161493"/>
    <w:rsid w:val="00B82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mgotiashvili</dc:creator>
  <cp:lastModifiedBy>mgotiashvili</cp:lastModifiedBy>
  <cp:revision>1</cp:revision>
  <dcterms:created xsi:type="dcterms:W3CDTF">2015-06-20T10:28:00Z</dcterms:created>
  <dcterms:modified xsi:type="dcterms:W3CDTF">2015-06-20T10:30:00Z</dcterms:modified>
</cp:coreProperties>
</file>